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202296">
        <w:rPr>
          <w:rFonts w:ascii="Arial" w:hAnsi="Arial" w:cs="Arial"/>
          <w:b/>
          <w:sz w:val="24"/>
          <w:szCs w:val="24"/>
        </w:rPr>
        <w:t>3041</w:t>
      </w:r>
      <w:bookmarkStart w:id="0" w:name="_GoBack"/>
      <w:bookmarkEnd w:id="0"/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464FAF">
        <w:rPr>
          <w:rFonts w:ascii="Arial" w:hAnsi="Arial" w:cs="Arial"/>
          <w:b/>
          <w:sz w:val="24"/>
          <w:szCs w:val="24"/>
        </w:rPr>
        <w:t>Athens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Greece</w:t>
      </w:r>
      <w:r w:rsidR="00BA1DAF">
        <w:rPr>
          <w:rFonts w:ascii="Arial" w:hAnsi="Arial" w:cs="Arial"/>
          <w:b/>
          <w:sz w:val="24"/>
          <w:szCs w:val="24"/>
        </w:rPr>
        <w:t>, 2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 xml:space="preserve">February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March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88299B">
        <w:rPr>
          <w:rFonts w:ascii="Arial" w:hAnsi="Arial" w:cs="Arial"/>
        </w:rPr>
        <w:t>On P</w:t>
      </w:r>
      <w:r w:rsidR="00B82D7E">
        <w:rPr>
          <w:rFonts w:ascii="Arial" w:hAnsi="Arial" w:cs="Arial"/>
        </w:rPr>
        <w:t>_</w:t>
      </w:r>
      <w:r w:rsidR="0088299B">
        <w:rPr>
          <w:rFonts w:ascii="Arial" w:hAnsi="Arial" w:cs="Arial"/>
        </w:rPr>
        <w:t xml:space="preserve">0 range for NR </w:t>
      </w:r>
      <w:r w:rsidR="004A44DA">
        <w:rPr>
          <w:rFonts w:ascii="Arial" w:hAnsi="Arial" w:cs="Arial"/>
        </w:rPr>
        <w:t>SUL</w:t>
      </w:r>
      <w:r w:rsidR="0088299B">
        <w:rPr>
          <w:rFonts w:ascii="Arial" w:hAnsi="Arial" w:cs="Arial"/>
        </w:rPr>
        <w:t xml:space="preserve"> power control</w:t>
      </w:r>
    </w:p>
    <w:p w:rsidR="00A774B4" w:rsidRPr="0088299B" w:rsidRDefault="00A774B4" w:rsidP="00A774B4">
      <w:pPr>
        <w:ind w:left="1985" w:hanging="1985"/>
        <w:rPr>
          <w:rFonts w:ascii="Arial" w:hAnsi="Arial" w:cs="Arial"/>
          <w:lang w:val="sv-SE"/>
        </w:rPr>
      </w:pPr>
      <w:r w:rsidRPr="0088299B">
        <w:rPr>
          <w:rFonts w:ascii="Arial" w:hAnsi="Arial" w:cs="Arial"/>
          <w:b/>
          <w:lang w:val="sv-SE"/>
        </w:rPr>
        <w:t>Agenda item:</w:t>
      </w:r>
      <w:r w:rsidRPr="0088299B">
        <w:rPr>
          <w:rFonts w:ascii="Arial" w:hAnsi="Arial" w:cs="Arial"/>
          <w:lang w:val="sv-SE"/>
        </w:rPr>
        <w:tab/>
      </w:r>
      <w:r w:rsidR="00C53147">
        <w:rPr>
          <w:rFonts w:ascii="Arial" w:hAnsi="Arial" w:cs="Arial"/>
          <w:lang w:val="sv-SE"/>
        </w:rPr>
        <w:t>7.1.4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4B3A1A" w:rsidRDefault="0009298C" w:rsidP="004B3A1A">
      <w:r>
        <w:t>In RAN4 Ad Hoc #1801, an LS from RAN1 to RAN4 was discussed on the two working assumptions on P_0 range for PUSCH / PUCCH /SRS and PRACH respectively [1] [2], in which an offset of 76dB was proposed on top of the current P_0 range. The main argument for 76dB was calculated in [3].</w:t>
      </w:r>
    </w:p>
    <w:p w:rsidR="0009298C" w:rsidRDefault="0009298C" w:rsidP="004B3A1A">
      <w:r>
        <w:t xml:space="preserve">In this contribution, we provide a view </w:t>
      </w:r>
      <w:r w:rsidR="00206DCE">
        <w:t>from RAN4 perspective on</w:t>
      </w:r>
      <w:r>
        <w:t xml:space="preserve"> </w:t>
      </w:r>
      <w:r w:rsidR="00206DCE">
        <w:t xml:space="preserve">the P0 range </w:t>
      </w:r>
      <w:r w:rsidR="003B1516">
        <w:t xml:space="preserve">and how </w:t>
      </w:r>
      <w:r w:rsidR="00206DCE">
        <w:t>to address</w:t>
      </w:r>
      <w:r>
        <w:t xml:space="preserve"> the path-loss difference between SUL at a lower frequency band and the normal down</w:t>
      </w:r>
      <w:r w:rsidR="00632E59">
        <w:t>link at a higher frequency band, and propose a reply LS to RAN1 according</w:t>
      </w:r>
      <w:r w:rsidR="00DF5351">
        <w:t>ly</w:t>
      </w:r>
      <w:r w:rsidR="00632E59">
        <w:t>.</w:t>
      </w:r>
    </w:p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5F73A1" w:rsidRDefault="005F73A1" w:rsidP="005F73A1">
      <w:r>
        <w:t>Uplink power control is important to keep the received power as the targeted level. In LTE, the uplink power control engages a combination of open-loop and close-loop power control scheme as shown below for PUSCH</w:t>
      </w:r>
      <w:r w:rsidR="00B22D3D">
        <w:t xml:space="preserve"> [4</w:t>
      </w:r>
      <w:r>
        <w:t>]:</w:t>
      </w:r>
    </w:p>
    <w:p w:rsidR="005F73A1" w:rsidRPr="00D013A0" w:rsidRDefault="005F73A1" w:rsidP="005F73A1">
      <w:pPr>
        <w:ind w:left="400"/>
        <w:rPr>
          <w:i/>
        </w:rPr>
      </w:pPr>
      <w:r w:rsidRPr="00D013A0">
        <w:rPr>
          <w:i/>
        </w:rPr>
        <w:t xml:space="preserve">If the UE transmits PUSCH without a simultaneous PUCCH for the serving cell </w:t>
      </w:r>
      <w:r w:rsidRPr="00D013A0">
        <w:rPr>
          <w:i/>
          <w:position w:val="-6"/>
        </w:rPr>
        <w:object w:dxaOrig="1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65pt" o:ole="">
            <v:imagedata r:id="rId8" o:title=""/>
          </v:shape>
          <o:OLEObject Type="Embed" ProgID="Equation.3" ShapeID="_x0000_i1025" DrawAspect="Content" ObjectID="_1580582506" r:id="rId9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26" type="#_x0000_t75" style="width:52.65pt;height:15.6pt" o:ole="">
            <v:imagedata r:id="rId10" o:title=""/>
          </v:shape>
          <o:OLEObject Type="Embed" ProgID="Equation.3" ShapeID="_x0000_i1026" DrawAspect="Content" ObjectID="_1580582507" r:id="rId11"/>
        </w:object>
      </w:r>
      <w:r w:rsidRPr="00D013A0">
        <w:rPr>
          <w:i/>
        </w:rPr>
        <w:t xml:space="preserve"> for PUSCH transmission in subframe i for the serving cell </w:t>
      </w:r>
      <w:r w:rsidRPr="00D013A0">
        <w:rPr>
          <w:i/>
          <w:position w:val="-6"/>
        </w:rPr>
        <w:object w:dxaOrig="160" w:dyaOrig="200">
          <v:shape id="_x0000_i1027" type="#_x0000_t75" style="width:8.05pt;height:9.65pt" o:ole="">
            <v:imagedata r:id="rId8" o:title=""/>
          </v:shape>
          <o:OLEObject Type="Embed" ProgID="Equation.3" ShapeID="_x0000_i1027" DrawAspect="Content" ObjectID="_1580582508" r:id="rId12"/>
        </w:object>
      </w:r>
      <w:r w:rsidRPr="00D013A0">
        <w:rPr>
          <w:i/>
        </w:rPr>
        <w:t>is given by</w:t>
      </w:r>
    </w:p>
    <w:p w:rsidR="005F73A1" w:rsidRPr="00D013A0" w:rsidRDefault="005F73A1" w:rsidP="005F73A1">
      <w:pPr>
        <w:pStyle w:val="EQ"/>
        <w:ind w:left="400"/>
        <w:jc w:val="center"/>
        <w:rPr>
          <w:i/>
        </w:rPr>
      </w:pPr>
      <w:r w:rsidRPr="00D013A0">
        <w:rPr>
          <w:i/>
          <w:position w:val="-34"/>
        </w:rPr>
        <w:object w:dxaOrig="8000" w:dyaOrig="800">
          <v:shape id="_x0000_i1028" type="#_x0000_t75" style="width:400.3pt;height:40.3pt" o:ole="">
            <v:imagedata r:id="rId13" o:title=""/>
          </v:shape>
          <o:OLEObject Type="Embed" ProgID="Equation.3" ShapeID="_x0000_i1028" DrawAspect="Content" ObjectID="_1580582509" r:id="rId14"/>
        </w:object>
      </w:r>
      <w:r w:rsidRPr="00D013A0">
        <w:rPr>
          <w:i/>
        </w:rPr>
        <w:t xml:space="preserve"> [dBm]</w:t>
      </w:r>
      <w:r w:rsidR="001A5BCB">
        <w:rPr>
          <w:i/>
        </w:rPr>
        <w:t xml:space="preserve">   Eq.(1)</w:t>
      </w:r>
    </w:p>
    <w:p w:rsidR="005F73A1" w:rsidRPr="00D013A0" w:rsidRDefault="005F73A1" w:rsidP="005F73A1">
      <w:pPr>
        <w:ind w:left="400"/>
        <w:rPr>
          <w:i/>
        </w:rPr>
      </w:pPr>
      <w:r w:rsidRPr="00D013A0">
        <w:rPr>
          <w:i/>
        </w:rPr>
        <w:t xml:space="preserve">If the UE transmits PUSCH simultaneous with PUCCH for the serving cell </w:t>
      </w:r>
      <w:r w:rsidRPr="00D013A0">
        <w:rPr>
          <w:i/>
          <w:position w:val="-6"/>
        </w:rPr>
        <w:object w:dxaOrig="160" w:dyaOrig="200">
          <v:shape id="_x0000_i1029" type="#_x0000_t75" style="width:8.05pt;height:9.65pt" o:ole="">
            <v:imagedata r:id="rId8" o:title=""/>
          </v:shape>
          <o:OLEObject Type="Embed" ProgID="Equation.3" ShapeID="_x0000_i1029" DrawAspect="Content" ObjectID="_1580582510" r:id="rId15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30" type="#_x0000_t75" style="width:52.65pt;height:15.6pt" o:ole="">
            <v:imagedata r:id="rId16" o:title=""/>
          </v:shape>
          <o:OLEObject Type="Embed" ProgID="Equation.3" ShapeID="_x0000_i1030" DrawAspect="Content" ObjectID="_1580582511" r:id="rId17"/>
        </w:object>
      </w:r>
      <w:r w:rsidRPr="00D013A0">
        <w:rPr>
          <w:i/>
        </w:rPr>
        <w:t xml:space="preserve">  for the PUSCH transmission in subframe i for the serving cell </w:t>
      </w:r>
      <w:r w:rsidRPr="00D013A0">
        <w:rPr>
          <w:i/>
          <w:position w:val="-6"/>
        </w:rPr>
        <w:object w:dxaOrig="160" w:dyaOrig="200">
          <v:shape id="_x0000_i1031" type="#_x0000_t75" style="width:8.05pt;height:9.65pt" o:ole="">
            <v:imagedata r:id="rId8" o:title=""/>
          </v:shape>
          <o:OLEObject Type="Embed" ProgID="Equation.3" ShapeID="_x0000_i1031" DrawAspect="Content" ObjectID="_1580582512" r:id="rId18"/>
        </w:object>
      </w:r>
      <w:r w:rsidRPr="00D013A0">
        <w:rPr>
          <w:i/>
        </w:rPr>
        <w:t xml:space="preserve"> is given by</w:t>
      </w:r>
    </w:p>
    <w:p w:rsidR="005F73A1" w:rsidRPr="00D013A0" w:rsidRDefault="005F73A1" w:rsidP="005F73A1">
      <w:pPr>
        <w:pStyle w:val="EQ"/>
        <w:ind w:left="400"/>
        <w:jc w:val="center"/>
        <w:rPr>
          <w:i/>
        </w:rPr>
      </w:pPr>
      <w:r w:rsidRPr="00DB4A40">
        <w:rPr>
          <w:i/>
          <w:position w:val="-36"/>
        </w:rPr>
        <w:object w:dxaOrig="8000" w:dyaOrig="840">
          <v:shape id="_x0000_i1032" type="#_x0000_t75" style="width:399.75pt;height:43pt" o:ole="">
            <v:imagedata r:id="rId19" o:title=""/>
          </v:shape>
          <o:OLEObject Type="Embed" ProgID="Equation.3" ShapeID="_x0000_i1032" DrawAspect="Content" ObjectID="_1580582513" r:id="rId20"/>
        </w:object>
      </w:r>
      <w:r w:rsidRPr="00D013A0">
        <w:rPr>
          <w:i/>
        </w:rPr>
        <w:t xml:space="preserve"> [dBm]</w:t>
      </w:r>
      <w:r w:rsidR="001A5BCB">
        <w:rPr>
          <w:i/>
        </w:rPr>
        <w:t xml:space="preserve">  Eq.(2)</w:t>
      </w:r>
    </w:p>
    <w:p w:rsidR="005F73A1" w:rsidRDefault="005F73A1" w:rsidP="005F73A1">
      <w:pPr>
        <w:snapToGrid w:val="0"/>
        <w:spacing w:beforeLines="50" w:before="120" w:line="360" w:lineRule="auto"/>
      </w:pPr>
      <w:r>
        <w:t xml:space="preserve">Where 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120" w:dyaOrig="380">
          <v:shape id="_x0000_i1033" type="#_x0000_t75" style="width:56.4pt;height:18.8pt" o:ole="">
            <v:imagedata r:id="rId21" o:title=""/>
          </v:shape>
          <o:OLEObject Type="Embed" ProgID="Equation.3" ShapeID="_x0000_i1033" DrawAspect="Content" ObjectID="_1580582514" r:id="rId22"/>
        </w:object>
      </w:r>
      <w:r>
        <w:t xml:space="preserve"> is the allocated number of RB (Resource Block) for PUSCH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440" w:dyaOrig="380">
          <v:shape id="_x0000_i1034" type="#_x0000_t75" style="width:1in;height:18.8pt" o:ole="">
            <v:imagedata r:id="rId23" o:title=""/>
          </v:shape>
          <o:OLEObject Type="Embed" ProgID="Equation.3" ShapeID="_x0000_i1034" DrawAspect="Content" ObjectID="_1580582515" r:id="rId24"/>
        </w:object>
      </w:r>
      <w:r>
        <w:t>corresponds to a close-loop power control scheme</w:t>
      </w:r>
    </w:p>
    <w:p w:rsidR="005F73A1" w:rsidRDefault="005F73A1" w:rsidP="005F73A1">
      <w:pPr>
        <w:numPr>
          <w:ilvl w:val="0"/>
          <w:numId w:val="11"/>
        </w:numPr>
        <w:tabs>
          <w:tab w:val="center" w:pos="1701"/>
          <w:tab w:val="right" w:pos="9072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2460" w:dyaOrig="380">
          <v:shape id="_x0000_i1035" type="#_x0000_t75" style="width:123.05pt;height:18.8pt" o:ole="">
            <v:imagedata r:id="rId25" o:title=""/>
          </v:shape>
          <o:OLEObject Type="Embed" ProgID="Equation.3" ShapeID="_x0000_i1035" DrawAspect="Content" ObjectID="_1580582516" r:id="rId26"/>
        </w:object>
      </w:r>
      <w:r>
        <w:t xml:space="preserve"> corresponds to an open-loop power control, which compensates the path-loss either fully or partially, depending on the configuration of </w:t>
      </w:r>
      <w:r w:rsidRPr="009F3B43">
        <w:rPr>
          <w:position w:val="-12"/>
        </w:rPr>
        <w:object w:dxaOrig="600" w:dyaOrig="360">
          <v:shape id="_x0000_i1036" type="#_x0000_t75" style="width:30.1pt;height:18.25pt" o:ole="">
            <v:imagedata r:id="rId27" o:title=""/>
          </v:shape>
          <o:OLEObject Type="Embed" ProgID="Equation.3" ShapeID="_x0000_i1036" DrawAspect="Content" ObjectID="_1580582517" r:id="rId28"/>
        </w:object>
      </w:r>
    </w:p>
    <w:p w:rsidR="005F73A1" w:rsidRDefault="005F73A1" w:rsidP="005F73A1">
      <w:pPr>
        <w:numPr>
          <w:ilvl w:val="1"/>
          <w:numId w:val="11"/>
        </w:numPr>
        <w:tabs>
          <w:tab w:val="center" w:pos="2127"/>
        </w:tabs>
        <w:snapToGrid w:val="0"/>
        <w:spacing w:beforeLines="50" w:before="120" w:after="120" w:line="360" w:lineRule="auto"/>
      </w:pPr>
      <w:r w:rsidRPr="009F3B43">
        <w:rPr>
          <w:position w:val="-12"/>
        </w:rPr>
        <w:object w:dxaOrig="420" w:dyaOrig="360">
          <v:shape id="_x0000_i1037" type="#_x0000_t75" style="width:20.95pt;height:18.25pt" o:ole="">
            <v:imagedata r:id="rId29" o:title=""/>
          </v:shape>
          <o:OLEObject Type="Embed" ProgID="Equation.3" ShapeID="_x0000_i1037" DrawAspect="Content" ObjectID="_1580582518" r:id="rId30"/>
        </w:object>
      </w:r>
      <w:r>
        <w:t xml:space="preserve"> is the measured path-loss based on the conventional downlink</w:t>
      </w:r>
    </w:p>
    <w:p w:rsidR="005F73A1" w:rsidRDefault="005F73A1" w:rsidP="005F73A1">
      <w:pPr>
        <w:numPr>
          <w:ilvl w:val="1"/>
          <w:numId w:val="11"/>
        </w:numPr>
        <w:tabs>
          <w:tab w:val="center" w:pos="2127"/>
        </w:tabs>
        <w:snapToGrid w:val="0"/>
        <w:spacing w:beforeLines="50" w:before="120" w:after="120" w:line="360" w:lineRule="auto"/>
      </w:pPr>
      <w:r w:rsidRPr="009F3B43">
        <w:rPr>
          <w:position w:val="-14"/>
        </w:rPr>
        <w:object w:dxaOrig="1240" w:dyaOrig="380">
          <v:shape id="_x0000_i1038" type="#_x0000_t75" style="width:62.35pt;height:18.8pt" o:ole="">
            <v:imagedata r:id="rId31" o:title=""/>
          </v:shape>
          <o:OLEObject Type="Embed" ProgID="Equation.3" ShapeID="_x0000_i1038" DrawAspect="Content" ObjectID="_1580582519" r:id="rId32"/>
        </w:object>
      </w:r>
      <w:r>
        <w:t>is the targeted received power per RB by the ba</w:t>
      </w:r>
      <w:r w:rsidR="00180B71">
        <w:t>se station in dBm, assuming 0dB</w:t>
      </w:r>
      <w:r>
        <w:t xml:space="preserve"> path-loss. It is dependent on the target SNR value and the uplink interference level</w:t>
      </w:r>
      <w:r w:rsidR="0000471E">
        <w:t xml:space="preserve"> [6]</w:t>
      </w:r>
      <w:r>
        <w:t>.</w:t>
      </w:r>
    </w:p>
    <w:p w:rsidR="00B52D9D" w:rsidRDefault="005F73A1" w:rsidP="005F73A1">
      <w:r>
        <w:t>In 5G NR, similar s</w:t>
      </w:r>
      <w:r w:rsidR="00B22D3D">
        <w:t>cheme is applied for NR PUSCH [5</w:t>
      </w:r>
      <w:r>
        <w:t>].</w:t>
      </w:r>
    </w:p>
    <w:p w:rsidR="00CA58B7" w:rsidRPr="002506A3" w:rsidRDefault="00D91FFC" w:rsidP="005F73A1">
      <w:pPr>
        <w:rPr>
          <w:b/>
        </w:rPr>
      </w:pPr>
      <w:r w:rsidRPr="002506A3">
        <w:rPr>
          <w:b/>
        </w:rPr>
        <w:t>Observation 1: P</w:t>
      </w:r>
      <w:r w:rsidR="002506A3" w:rsidRPr="002506A3">
        <w:rPr>
          <w:b/>
          <w:vertAlign w:val="subscript"/>
        </w:rPr>
        <w:t>0</w:t>
      </w:r>
      <w:r w:rsidRPr="002506A3">
        <w:rPr>
          <w:b/>
        </w:rPr>
        <w:t xml:space="preserve"> is related to the targeted received power per RB at BS assuming zero path-loss, </w:t>
      </w:r>
      <w:r w:rsidR="00FE03A4">
        <w:rPr>
          <w:b/>
        </w:rPr>
        <w:t>and its</w:t>
      </w:r>
      <w:r w:rsidR="001F00F9">
        <w:rPr>
          <w:b/>
        </w:rPr>
        <w:t xml:space="preserve"> range </w:t>
      </w:r>
      <w:r w:rsidR="00DB1C8C">
        <w:rPr>
          <w:b/>
        </w:rPr>
        <w:t>depends on</w:t>
      </w:r>
      <w:r w:rsidR="001F00F9">
        <w:rPr>
          <w:b/>
        </w:rPr>
        <w:t xml:space="preserve"> the target SNR values and uplink interference level in NR.</w:t>
      </w:r>
    </w:p>
    <w:p w:rsidR="00831FEC" w:rsidRPr="00B257BF" w:rsidRDefault="00CA58B7" w:rsidP="00B257BF">
      <w:pPr>
        <w:rPr>
          <w:b/>
          <w:u w:val="single"/>
        </w:rPr>
      </w:pPr>
      <w:r>
        <w:t xml:space="preserve">Actually, in the above power control scheme </w:t>
      </w:r>
      <w:r w:rsidRPr="00CA58B7">
        <w:rPr>
          <w:i/>
        </w:rPr>
        <w:t>PLc</w:t>
      </w:r>
      <w:r>
        <w:t xml:space="preserve"> is assumed to match to the pathloss at the uplink, so in SUL case, </w:t>
      </w:r>
      <w:r w:rsidR="00B257BF">
        <w:t>a</w:t>
      </w:r>
      <w:r w:rsidR="00831FEC">
        <w:t xml:space="preserve">n offset </w:t>
      </w:r>
      <w:r w:rsidR="00831FEC" w:rsidRPr="00915E62">
        <w:rPr>
          <w:position w:val="-12"/>
        </w:rPr>
        <w:object w:dxaOrig="1060" w:dyaOrig="360">
          <v:shape id="_x0000_i1039" type="#_x0000_t75" style="width:53.2pt;height:18.25pt" o:ole="">
            <v:imagedata r:id="rId33" o:title=""/>
          </v:shape>
          <o:OLEObject Type="Embed" ProgID="Equation.3" ShapeID="_x0000_i1039" DrawAspect="Content" ObjectID="_1580582520" r:id="rId34"/>
        </w:object>
      </w:r>
      <w:r w:rsidR="00831FEC">
        <w:t xml:space="preserve"> </w:t>
      </w:r>
      <w:r w:rsidR="00894EF4">
        <w:t>can be</w:t>
      </w:r>
      <w:r w:rsidR="00831FEC">
        <w:t xml:space="preserve"> applied as:</w:t>
      </w:r>
    </w:p>
    <w:p w:rsidR="00831FEC" w:rsidRPr="00D013A0" w:rsidRDefault="00831FEC" w:rsidP="00831FEC">
      <w:pPr>
        <w:ind w:left="400"/>
        <w:rPr>
          <w:i/>
        </w:rPr>
      </w:pPr>
      <w:r w:rsidRPr="00D013A0">
        <w:rPr>
          <w:i/>
        </w:rPr>
        <w:t xml:space="preserve">If the UE transmits PUSCH without a simultaneous PUCCH for the serving cell </w:t>
      </w:r>
      <w:r w:rsidRPr="00D013A0">
        <w:rPr>
          <w:i/>
          <w:position w:val="-6"/>
        </w:rPr>
        <w:object w:dxaOrig="160" w:dyaOrig="200">
          <v:shape id="_x0000_i1040" type="#_x0000_t75" style="width:8.05pt;height:9.65pt" o:ole="">
            <v:imagedata r:id="rId8" o:title=""/>
          </v:shape>
          <o:OLEObject Type="Embed" ProgID="Equation.3" ShapeID="_x0000_i1040" DrawAspect="Content" ObjectID="_1580582521" r:id="rId35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41" type="#_x0000_t75" style="width:52.65pt;height:15.6pt" o:ole="">
            <v:imagedata r:id="rId10" o:title=""/>
          </v:shape>
          <o:OLEObject Type="Embed" ProgID="Equation.3" ShapeID="_x0000_i1041" DrawAspect="Content" ObjectID="_1580582522" r:id="rId36"/>
        </w:object>
      </w:r>
      <w:r w:rsidRPr="00D013A0">
        <w:rPr>
          <w:i/>
        </w:rPr>
        <w:t xml:space="preserve"> for PUSCH transmission in subframe i for the serving cell </w:t>
      </w:r>
      <w:r w:rsidRPr="00D013A0">
        <w:rPr>
          <w:i/>
          <w:position w:val="-6"/>
        </w:rPr>
        <w:object w:dxaOrig="160" w:dyaOrig="200">
          <v:shape id="_x0000_i1042" type="#_x0000_t75" style="width:8.05pt;height:9.65pt" o:ole="">
            <v:imagedata r:id="rId8" o:title=""/>
          </v:shape>
          <o:OLEObject Type="Embed" ProgID="Equation.3" ShapeID="_x0000_i1042" DrawAspect="Content" ObjectID="_1580582523" r:id="rId37"/>
        </w:object>
      </w:r>
      <w:r w:rsidRPr="00D013A0">
        <w:rPr>
          <w:i/>
        </w:rPr>
        <w:t>is given by</w:t>
      </w:r>
    </w:p>
    <w:p w:rsidR="00831FEC" w:rsidRPr="00D013A0" w:rsidRDefault="00831FEC" w:rsidP="00831FEC">
      <w:pPr>
        <w:pStyle w:val="EQ"/>
        <w:ind w:left="400"/>
        <w:jc w:val="center"/>
        <w:rPr>
          <w:i/>
        </w:rPr>
      </w:pPr>
      <w:r w:rsidRPr="00D013A0">
        <w:rPr>
          <w:i/>
          <w:position w:val="-34"/>
        </w:rPr>
        <w:object w:dxaOrig="9360" w:dyaOrig="800">
          <v:shape id="_x0000_i1043" type="#_x0000_t75" style="width:469.05pt;height:40.3pt" o:ole="">
            <v:imagedata r:id="rId38" o:title=""/>
          </v:shape>
          <o:OLEObject Type="Embed" ProgID="Equation.3" ShapeID="_x0000_i1043" DrawAspect="Content" ObjectID="_1580582524" r:id="rId39"/>
        </w:object>
      </w:r>
      <w:r w:rsidRPr="00D013A0">
        <w:rPr>
          <w:i/>
        </w:rPr>
        <w:t xml:space="preserve"> [dBm]</w:t>
      </w:r>
      <w:r w:rsidR="001A5BCB">
        <w:rPr>
          <w:i/>
        </w:rPr>
        <w:t xml:space="preserve">       Eq. (3)</w:t>
      </w:r>
    </w:p>
    <w:p w:rsidR="00831FEC" w:rsidRPr="00D013A0" w:rsidRDefault="00831FEC" w:rsidP="00831FEC">
      <w:pPr>
        <w:ind w:left="400"/>
        <w:rPr>
          <w:i/>
        </w:rPr>
      </w:pPr>
      <w:r w:rsidRPr="00D013A0">
        <w:rPr>
          <w:i/>
        </w:rPr>
        <w:t xml:space="preserve">If the UE transmits PUSCH simultaneous with PUCCH for the serving cell </w:t>
      </w:r>
      <w:r w:rsidRPr="00D013A0">
        <w:rPr>
          <w:i/>
          <w:position w:val="-6"/>
        </w:rPr>
        <w:object w:dxaOrig="160" w:dyaOrig="200">
          <v:shape id="_x0000_i1044" type="#_x0000_t75" style="width:8.05pt;height:9.65pt" o:ole="">
            <v:imagedata r:id="rId8" o:title=""/>
          </v:shape>
          <o:OLEObject Type="Embed" ProgID="Equation.3" ShapeID="_x0000_i1044" DrawAspect="Content" ObjectID="_1580582525" r:id="rId40"/>
        </w:object>
      </w:r>
      <w:r w:rsidRPr="00D013A0">
        <w:rPr>
          <w:i/>
        </w:rPr>
        <w:t xml:space="preserve">, then the UE transmit power </w:t>
      </w:r>
      <w:r w:rsidRPr="00D013A0">
        <w:rPr>
          <w:i/>
          <w:position w:val="-12"/>
        </w:rPr>
        <w:object w:dxaOrig="1060" w:dyaOrig="320">
          <v:shape id="_x0000_i1045" type="#_x0000_t75" style="width:52.65pt;height:15.6pt" o:ole="">
            <v:imagedata r:id="rId16" o:title=""/>
          </v:shape>
          <o:OLEObject Type="Embed" ProgID="Equation.3" ShapeID="_x0000_i1045" DrawAspect="Content" ObjectID="_1580582526" r:id="rId41"/>
        </w:object>
      </w:r>
      <w:r w:rsidRPr="00D013A0">
        <w:rPr>
          <w:i/>
        </w:rPr>
        <w:t xml:space="preserve">  for the PUSCH transmission in subframe i for the serving cell </w:t>
      </w:r>
      <w:r w:rsidRPr="00D013A0">
        <w:rPr>
          <w:i/>
          <w:position w:val="-6"/>
        </w:rPr>
        <w:object w:dxaOrig="160" w:dyaOrig="200">
          <v:shape id="_x0000_i1046" type="#_x0000_t75" style="width:8.05pt;height:9.65pt" o:ole="">
            <v:imagedata r:id="rId8" o:title=""/>
          </v:shape>
          <o:OLEObject Type="Embed" ProgID="Equation.3" ShapeID="_x0000_i1046" DrawAspect="Content" ObjectID="_1580582527" r:id="rId42"/>
        </w:object>
      </w:r>
      <w:r w:rsidRPr="00D013A0">
        <w:rPr>
          <w:i/>
        </w:rPr>
        <w:t xml:space="preserve"> is given by</w:t>
      </w:r>
    </w:p>
    <w:p w:rsidR="001A5BCB" w:rsidRDefault="008142F2" w:rsidP="00EA3BA0">
      <w:pPr>
        <w:snapToGrid w:val="0"/>
        <w:spacing w:beforeLines="50" w:before="120" w:line="360" w:lineRule="auto"/>
        <w:ind w:firstLineChars="200" w:firstLine="400"/>
        <w:rPr>
          <w:i/>
        </w:rPr>
      </w:pPr>
      <w:r w:rsidRPr="00DB4A40">
        <w:rPr>
          <w:i/>
          <w:position w:val="-36"/>
        </w:rPr>
        <w:object w:dxaOrig="9380" w:dyaOrig="840">
          <v:shape id="_x0000_i1049" type="#_x0000_t75" style="width:468pt;height:43pt" o:ole="">
            <v:imagedata r:id="rId43" o:title=""/>
          </v:shape>
          <o:OLEObject Type="Embed" ProgID="Equation.3" ShapeID="_x0000_i1049" DrawAspect="Content" ObjectID="_1580582528" r:id="rId44"/>
        </w:object>
      </w:r>
      <w:r w:rsidR="00831FEC" w:rsidRPr="00D013A0">
        <w:rPr>
          <w:i/>
        </w:rPr>
        <w:t xml:space="preserve"> </w:t>
      </w:r>
    </w:p>
    <w:p w:rsidR="00831FEC" w:rsidRDefault="00831FEC" w:rsidP="001A5BCB">
      <w:pPr>
        <w:snapToGrid w:val="0"/>
        <w:spacing w:beforeLines="50" w:before="120" w:line="360" w:lineRule="auto"/>
      </w:pPr>
      <w:r w:rsidRPr="00D013A0">
        <w:rPr>
          <w:i/>
        </w:rPr>
        <w:t>[dBm]</w:t>
      </w:r>
      <w:r w:rsidR="001A5BCB">
        <w:rPr>
          <w:i/>
        </w:rPr>
        <w:t xml:space="preserve">   Eq. (4)</w:t>
      </w:r>
    </w:p>
    <w:p w:rsidR="00831FEC" w:rsidRDefault="00831FEC" w:rsidP="00831FEC">
      <w:pPr>
        <w:snapToGrid w:val="0"/>
        <w:spacing w:beforeLines="50" w:before="120" w:line="360" w:lineRule="auto"/>
        <w:ind w:firstLineChars="200" w:firstLine="400"/>
      </w:pPr>
      <w:r>
        <w:t xml:space="preserve">Where </w:t>
      </w:r>
      <w:r w:rsidRPr="009F3B43">
        <w:rPr>
          <w:position w:val="-12"/>
        </w:rPr>
        <w:object w:dxaOrig="1060" w:dyaOrig="360">
          <v:shape id="_x0000_i1047" type="#_x0000_t75" style="width:53.2pt;height:18.25pt" o:ole="">
            <v:imagedata r:id="rId45" o:title=""/>
          </v:shape>
          <o:OLEObject Type="Embed" ProgID="Equation.3" ShapeID="_x0000_i1047" DrawAspect="Content" ObjectID="_1580582529" r:id="rId46"/>
        </w:object>
      </w:r>
      <w:r>
        <w:t xml:space="preserve"> is function of frequency band combination </w:t>
      </w:r>
      <w:r w:rsidRPr="00C9631B">
        <w:rPr>
          <w:position w:val="-12"/>
        </w:rPr>
        <w:object w:dxaOrig="1100" w:dyaOrig="360">
          <v:shape id="_x0000_i1048" type="#_x0000_t75" style="width:54.8pt;height:18.25pt" o:ole="">
            <v:imagedata r:id="rId47" o:title=""/>
          </v:shape>
          <o:OLEObject Type="Embed" ProgID="Equation.3" ShapeID="_x0000_i1048" DrawAspect="Content" ObjectID="_1580582530" r:id="rId48"/>
        </w:object>
      </w:r>
      <w:r>
        <w:t xml:space="preserve">and other techniques related to normal downlink transmission and receive, and uplink transmissions, etc. </w:t>
      </w:r>
    </w:p>
    <w:p w:rsidR="008142F2" w:rsidRDefault="008142F2" w:rsidP="00EA3BA0">
      <w:pPr>
        <w:snapToGrid w:val="0"/>
        <w:spacing w:beforeLines="50" w:before="120" w:line="360" w:lineRule="auto"/>
      </w:pPr>
      <w:r>
        <w:t>The</w:t>
      </w:r>
      <w:r w:rsidR="00894EF4">
        <w:t>n</w:t>
      </w:r>
      <w:r>
        <w:t xml:space="preserve"> P</w:t>
      </w:r>
      <w:r w:rsidRPr="008142F2">
        <w:rPr>
          <w:vertAlign w:val="subscript"/>
        </w:rPr>
        <w:t>0</w:t>
      </w:r>
      <w:r>
        <w:t xml:space="preserve"> </w:t>
      </w:r>
      <w:r w:rsidR="008B3626">
        <w:t xml:space="preserve">for SUL </w:t>
      </w:r>
      <w:r>
        <w:t>is denoted as:</w:t>
      </w:r>
    </w:p>
    <w:p w:rsidR="008142F2" w:rsidRPr="001A5BCB" w:rsidRDefault="0055357F" w:rsidP="00AD5902">
      <w:pPr>
        <w:snapToGrid w:val="0"/>
        <w:spacing w:beforeLines="50" w:before="120" w:line="360" w:lineRule="auto"/>
        <w:ind w:firstLineChars="200" w:firstLine="400"/>
        <w:jc w:val="center"/>
        <w:rPr>
          <w:i/>
        </w:rPr>
      </w:pPr>
      <w:r w:rsidRPr="001A5BCB">
        <w:rPr>
          <w:i/>
          <w:position w:val="-14"/>
        </w:rPr>
        <w:object w:dxaOrig="4140" w:dyaOrig="380">
          <v:shape id="_x0000_i1050" type="#_x0000_t75" style="width:206.85pt;height:18.8pt" o:ole="">
            <v:imagedata r:id="rId49" o:title=""/>
          </v:shape>
          <o:OLEObject Type="Embed" ProgID="Equation.3" ShapeID="_x0000_i1050" DrawAspect="Content" ObjectID="_1580582531" r:id="rId50"/>
        </w:object>
      </w:r>
      <w:r w:rsidR="00554BA2" w:rsidRPr="001A5BCB">
        <w:rPr>
          <w:i/>
        </w:rPr>
        <w:t xml:space="preserve"> </w:t>
      </w:r>
      <w:r w:rsidR="001A5BCB" w:rsidRPr="001A5BCB">
        <w:rPr>
          <w:i/>
        </w:rPr>
        <w:t xml:space="preserve">     Eq. (5)</w:t>
      </w:r>
    </w:p>
    <w:p w:rsidR="00B55881" w:rsidRDefault="00F6090E" w:rsidP="001A5BCB">
      <w:pPr>
        <w:snapToGrid w:val="0"/>
        <w:spacing w:beforeLines="50" w:before="120" w:line="360" w:lineRule="auto"/>
      </w:pPr>
      <w:r>
        <w:t xml:space="preserve">The </w:t>
      </w:r>
      <w:r w:rsidR="00934486">
        <w:t>first</w:t>
      </w:r>
      <w:r>
        <w:t xml:space="preserve"> question is whether or not the P</w:t>
      </w:r>
      <w:r w:rsidRPr="00F6090E">
        <w:rPr>
          <w:vertAlign w:val="subscript"/>
        </w:rPr>
        <w:t>0</w:t>
      </w:r>
      <w:r>
        <w:t xml:space="preserve"> range should be deducted with the maximum X according to Eq. (5) as proposed in RAN1 LS.</w:t>
      </w:r>
      <w:r w:rsidR="00A12347" w:rsidRPr="00A12347">
        <w:t xml:space="preserve"> </w:t>
      </w:r>
    </w:p>
    <w:p w:rsidR="00F6090E" w:rsidRDefault="00A12347" w:rsidP="001A5BCB">
      <w:pPr>
        <w:snapToGrid w:val="0"/>
        <w:spacing w:beforeLines="50" w:before="120" w:line="360" w:lineRule="auto"/>
      </w:pPr>
      <w:r>
        <w:t xml:space="preserve">Actually </w:t>
      </w:r>
      <w:r>
        <w:t>in order to be able to decode SUL for BS, the required power of SUL received at BS is the same as if SUL is operating in a conventional way, and has nothing to do with whether or not there is a coupling loss difference between SUL and normal paired NR</w:t>
      </w:r>
      <w:r>
        <w:t xml:space="preserve">. Therefore, the effective </w:t>
      </w:r>
      <w:r>
        <w:t>range of</w:t>
      </w:r>
      <w:r w:rsidRPr="00C876B4">
        <w:rPr>
          <w:position w:val="-14"/>
        </w:rPr>
        <w:object w:dxaOrig="880" w:dyaOrig="380">
          <v:shape id="_x0000_i1051" type="#_x0000_t75" style="width:44.05pt;height:18.8pt" o:ole="">
            <v:imagedata r:id="rId51" o:title=""/>
          </v:shape>
          <o:OLEObject Type="Embed" ProgID="Equation.3" ShapeID="_x0000_i1051" DrawAspect="Content" ObjectID="_1580582532" r:id="rId52"/>
        </w:object>
      </w:r>
      <w:r>
        <w:t xml:space="preserve">should </w:t>
      </w:r>
      <w:r>
        <w:t>not be impacted by the coupling loss difference</w:t>
      </w:r>
      <w:r w:rsidR="00B55881">
        <w:t>, and</w:t>
      </w:r>
      <w:r w:rsidR="00B55881">
        <w:t xml:space="preserve"> the observed coupling loss difference X should NOT be applied directly according to </w:t>
      </w:r>
      <w:r w:rsidR="00B55881" w:rsidRPr="009F6952">
        <w:rPr>
          <w:i/>
        </w:rPr>
        <w:t>Eq. (5)</w:t>
      </w:r>
    </w:p>
    <w:p w:rsidR="00277AA4" w:rsidRPr="00277AA4" w:rsidRDefault="00277AA4" w:rsidP="00760D3B">
      <w:pPr>
        <w:snapToGrid w:val="0"/>
        <w:spacing w:beforeLines="50" w:before="120" w:line="360" w:lineRule="auto"/>
        <w:rPr>
          <w:b/>
        </w:rPr>
      </w:pPr>
      <w:r w:rsidRPr="00277AA4">
        <w:rPr>
          <w:b/>
        </w:rPr>
        <w:t>Observation 2: T</w:t>
      </w:r>
      <w:r w:rsidRPr="00277AA4">
        <w:rPr>
          <w:b/>
        </w:rPr>
        <w:t xml:space="preserve">he coupling loss difference between SUL and normal paired NR DOES not change the required </w:t>
      </w:r>
      <w:r w:rsidR="00F24221">
        <w:rPr>
          <w:b/>
        </w:rPr>
        <w:t>receive</w:t>
      </w:r>
      <w:r w:rsidRPr="00277AA4">
        <w:rPr>
          <w:b/>
        </w:rPr>
        <w:t xml:space="preserve"> power of SUL in order for BS to be able to decode SUL.</w:t>
      </w:r>
      <w:r>
        <w:rPr>
          <w:b/>
        </w:rPr>
        <w:t xml:space="preserve"> The P</w:t>
      </w:r>
      <w:r w:rsidRPr="001A5BCB">
        <w:rPr>
          <w:b/>
          <w:vertAlign w:val="subscript"/>
        </w:rPr>
        <w:t>0</w:t>
      </w:r>
      <w:r>
        <w:rPr>
          <w:b/>
        </w:rPr>
        <w:t xml:space="preserve"> range</w:t>
      </w:r>
      <w:r w:rsidR="001A5BCB">
        <w:rPr>
          <w:b/>
        </w:rPr>
        <w:t xml:space="preserve"> for SUL</w:t>
      </w:r>
      <w:r>
        <w:rPr>
          <w:b/>
        </w:rPr>
        <w:t xml:space="preserve"> should </w:t>
      </w:r>
      <w:r w:rsidR="0035253A">
        <w:rPr>
          <w:b/>
        </w:rPr>
        <w:t>not be impacted by the coupling loss difference</w:t>
      </w:r>
      <w:r>
        <w:rPr>
          <w:b/>
        </w:rPr>
        <w:t>.</w:t>
      </w:r>
    </w:p>
    <w:p w:rsidR="00BB6A30" w:rsidRDefault="00BB6A30" w:rsidP="009F6952">
      <w:pPr>
        <w:snapToGrid w:val="0"/>
        <w:spacing w:beforeLines="50" w:before="120" w:line="360" w:lineRule="auto"/>
      </w:pPr>
      <w:r>
        <w:t>The allowed P</w:t>
      </w:r>
      <w:r w:rsidRPr="00BB6A30">
        <w:rPr>
          <w:vertAlign w:val="subscript"/>
        </w:rPr>
        <w:t>0</w:t>
      </w:r>
      <w:r>
        <w:t xml:space="preserve"> range for SUL power control should be defined in a similar w</w:t>
      </w:r>
      <w:r w:rsidR="008B49B2">
        <w:t xml:space="preserve">ay as that in LTE by considering new </w:t>
      </w:r>
      <w:r>
        <w:t>channel bandwidth etc.</w:t>
      </w:r>
    </w:p>
    <w:p w:rsidR="008B49B2" w:rsidRPr="000A2A1B" w:rsidRDefault="008B49B2" w:rsidP="009F6952">
      <w:pPr>
        <w:snapToGrid w:val="0"/>
        <w:spacing w:beforeLines="50" w:before="120" w:line="360" w:lineRule="auto"/>
        <w:rPr>
          <w:b/>
        </w:rPr>
      </w:pPr>
      <w:r w:rsidRPr="000A2A1B">
        <w:rPr>
          <w:b/>
        </w:rPr>
        <w:lastRenderedPageBreak/>
        <w:t>Observation</w:t>
      </w:r>
      <w:r w:rsidR="000A2A1B" w:rsidRPr="000A2A1B">
        <w:rPr>
          <w:b/>
        </w:rPr>
        <w:t xml:space="preserve"> 3: </w:t>
      </w:r>
      <w:r w:rsidR="000A2A1B" w:rsidRPr="000A2A1B">
        <w:rPr>
          <w:b/>
        </w:rPr>
        <w:t>The allowed P</w:t>
      </w:r>
      <w:r w:rsidR="000A2A1B" w:rsidRPr="000A2A1B">
        <w:rPr>
          <w:b/>
          <w:vertAlign w:val="subscript"/>
        </w:rPr>
        <w:t>0</w:t>
      </w:r>
      <w:r w:rsidR="000A2A1B" w:rsidRPr="000A2A1B">
        <w:rPr>
          <w:b/>
        </w:rPr>
        <w:t xml:space="preserve"> range for SUL power control should be defined in a similar way as that in LTE by considering new channel bandwidth etc.</w:t>
      </w:r>
      <w:r w:rsidR="00C74350">
        <w:rPr>
          <w:b/>
        </w:rPr>
        <w:t xml:space="preserve"> in NR.</w:t>
      </w:r>
    </w:p>
    <w:p w:rsidR="00934486" w:rsidRDefault="00934486" w:rsidP="009F6952">
      <w:pPr>
        <w:snapToGrid w:val="0"/>
        <w:spacing w:beforeLines="50" w:before="120" w:line="360" w:lineRule="auto"/>
      </w:pPr>
      <w:r>
        <w:t xml:space="preserve">The second question is </w:t>
      </w:r>
      <w:r w:rsidR="00B55881">
        <w:t xml:space="preserve">how to handle the coupling loss difference between SUL and normal paired NR during SUL power control. </w:t>
      </w:r>
      <w:r w:rsidR="00F04CD7">
        <w:t>T</w:t>
      </w:r>
      <w:r w:rsidR="00B55881">
        <w:t>he actual P</w:t>
      </w:r>
      <w:r w:rsidR="00B55881" w:rsidRPr="00F04CD7">
        <w:rPr>
          <w:vertAlign w:val="subscript"/>
        </w:rPr>
        <w:t>0</w:t>
      </w:r>
      <w:r w:rsidR="00B55881">
        <w:t xml:space="preserve"> of SUL </w:t>
      </w:r>
      <w:r w:rsidR="00F04CD7">
        <w:t>can be calculated according to Eq. (5), but with hard limit to the allowed range. That is, if the calculated P</w:t>
      </w:r>
      <w:r w:rsidR="00F04CD7" w:rsidRPr="00F04CD7">
        <w:rPr>
          <w:vertAlign w:val="subscript"/>
        </w:rPr>
        <w:t>0</w:t>
      </w:r>
      <w:r w:rsidR="00F04CD7">
        <w:t xml:space="preserve"> is less than the lower end of the P</w:t>
      </w:r>
      <w:r w:rsidR="00F04CD7" w:rsidRPr="00FD3D8B">
        <w:rPr>
          <w:vertAlign w:val="subscript"/>
        </w:rPr>
        <w:t>0</w:t>
      </w:r>
      <w:r w:rsidR="00F04CD7">
        <w:t xml:space="preserve"> range, then P</w:t>
      </w:r>
      <w:r w:rsidR="00F04CD7" w:rsidRPr="00FD3D8B">
        <w:rPr>
          <w:vertAlign w:val="subscript"/>
        </w:rPr>
        <w:t>0</w:t>
      </w:r>
      <w:r w:rsidR="00F04CD7">
        <w:t xml:space="preserve"> should be set to the lower end of the P</w:t>
      </w:r>
      <w:r w:rsidR="00F04CD7" w:rsidRPr="00FD3D8B">
        <w:rPr>
          <w:vertAlign w:val="subscript"/>
        </w:rPr>
        <w:t>0</w:t>
      </w:r>
      <w:r w:rsidR="00F04CD7">
        <w:t xml:space="preserve"> range. </w:t>
      </w:r>
    </w:p>
    <w:p w:rsidR="002506A3" w:rsidRDefault="00FD3D8B" w:rsidP="009F6952">
      <w:pPr>
        <w:snapToGrid w:val="0"/>
        <w:spacing w:beforeLines="50" w:before="120" w:line="360" w:lineRule="auto"/>
      </w:pPr>
      <w:r w:rsidRPr="00277AA4">
        <w:rPr>
          <w:b/>
        </w:rPr>
        <w:t xml:space="preserve">Observation </w:t>
      </w:r>
      <w:r w:rsidR="000A2A1B">
        <w:rPr>
          <w:b/>
        </w:rPr>
        <w:t>4</w:t>
      </w:r>
      <w:r w:rsidRPr="00277AA4">
        <w:rPr>
          <w:b/>
        </w:rPr>
        <w:t xml:space="preserve">: </w:t>
      </w:r>
      <w:r>
        <w:rPr>
          <w:b/>
        </w:rPr>
        <w:t>The P</w:t>
      </w:r>
      <w:r w:rsidRPr="001A5BCB">
        <w:rPr>
          <w:b/>
          <w:vertAlign w:val="subscript"/>
        </w:rPr>
        <w:t>0</w:t>
      </w:r>
      <w:r>
        <w:rPr>
          <w:b/>
        </w:rPr>
        <w:t xml:space="preserve"> </w:t>
      </w:r>
      <w:r>
        <w:rPr>
          <w:b/>
        </w:rPr>
        <w:t>value</w:t>
      </w:r>
      <w:r>
        <w:rPr>
          <w:b/>
        </w:rPr>
        <w:t xml:space="preserve"> for SUL </w:t>
      </w:r>
      <w:r>
        <w:rPr>
          <w:b/>
        </w:rPr>
        <w:t xml:space="preserve">power control can be </w:t>
      </w:r>
      <w:r w:rsidR="00097971">
        <w:rPr>
          <w:b/>
        </w:rPr>
        <w:t xml:space="preserve">set by </w:t>
      </w:r>
      <w:r>
        <w:rPr>
          <w:b/>
        </w:rPr>
        <w:t>deduct</w:t>
      </w:r>
      <w:r w:rsidR="00097971">
        <w:rPr>
          <w:b/>
        </w:rPr>
        <w:t>ing</w:t>
      </w:r>
      <w:r>
        <w:rPr>
          <w:b/>
        </w:rPr>
        <w:t xml:space="preserve"> with an offset which is the product of the configured α and the observed coupling loss difference X</w:t>
      </w:r>
      <w:r w:rsidR="00F365E7">
        <w:rPr>
          <w:b/>
        </w:rPr>
        <w:t xml:space="preserve">, but hard limited to the allowed </w:t>
      </w:r>
      <w:r w:rsidR="00F365E7">
        <w:rPr>
          <w:b/>
        </w:rPr>
        <w:t>P</w:t>
      </w:r>
      <w:r w:rsidR="00F365E7" w:rsidRPr="001A5BCB">
        <w:rPr>
          <w:b/>
          <w:vertAlign w:val="subscript"/>
        </w:rPr>
        <w:t>0</w:t>
      </w:r>
      <w:r w:rsidR="00F365E7">
        <w:rPr>
          <w:b/>
        </w:rPr>
        <w:t xml:space="preserve"> range.</w:t>
      </w:r>
    </w:p>
    <w:p w:rsidR="002506A3" w:rsidRPr="00C5348F" w:rsidRDefault="00161538" w:rsidP="005F73A1">
      <w:pPr>
        <w:rPr>
          <w:b/>
        </w:rPr>
      </w:pPr>
      <w:r w:rsidRPr="00C5348F">
        <w:rPr>
          <w:b/>
        </w:rPr>
        <w:t>Proposal 1</w:t>
      </w:r>
      <w:r w:rsidR="00525B61">
        <w:rPr>
          <w:b/>
        </w:rPr>
        <w:t>:</w:t>
      </w:r>
      <w:r w:rsidR="00C5348F" w:rsidRPr="00C5348F">
        <w:rPr>
          <w:b/>
        </w:rPr>
        <w:t xml:space="preserve"> Send a reply LS to RAN1 describing the above understanding</w:t>
      </w:r>
      <w:r w:rsidR="00C5348F">
        <w:rPr>
          <w:b/>
        </w:rPr>
        <w:t>, and decline the confirmation of both work assumptions</w:t>
      </w:r>
      <w:r w:rsidR="00C5348F" w:rsidRPr="00C5348F">
        <w:rPr>
          <w:b/>
        </w:rPr>
        <w:t>.</w:t>
      </w:r>
    </w:p>
    <w:p w:rsidR="002F71F5" w:rsidRPr="00D40093" w:rsidRDefault="002F71F5" w:rsidP="004B3A1A">
      <w:pPr>
        <w:rPr>
          <w:b/>
        </w:rPr>
      </w:pPr>
    </w:p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 xml:space="preserve">Based on the above discussions, we have the following </w:t>
      </w:r>
      <w:r w:rsidR="00477256">
        <w:t>observation</w:t>
      </w:r>
      <w:r w:rsidR="00F524A2">
        <w:t>s</w:t>
      </w:r>
      <w:r w:rsidR="00477256">
        <w:t xml:space="preserve"> and </w:t>
      </w:r>
      <w:r>
        <w:t>proposal</w:t>
      </w:r>
      <w:r w:rsidR="00F524A2">
        <w:t xml:space="preserve"> on P</w:t>
      </w:r>
      <w:r w:rsidR="00F524A2" w:rsidRPr="00A07112">
        <w:rPr>
          <w:vertAlign w:val="subscript"/>
        </w:rPr>
        <w:t>0</w:t>
      </w:r>
      <w:r w:rsidR="00F524A2">
        <w:t xml:space="preserve"> range for SUL power control:</w:t>
      </w:r>
    </w:p>
    <w:p w:rsidR="00097971" w:rsidRPr="002506A3" w:rsidRDefault="00097971" w:rsidP="00097971">
      <w:pPr>
        <w:rPr>
          <w:b/>
        </w:rPr>
      </w:pPr>
      <w:r w:rsidRPr="002506A3">
        <w:rPr>
          <w:b/>
        </w:rPr>
        <w:t>Observation 1: P</w:t>
      </w:r>
      <w:r w:rsidRPr="002506A3">
        <w:rPr>
          <w:b/>
          <w:vertAlign w:val="subscript"/>
        </w:rPr>
        <w:t>0</w:t>
      </w:r>
      <w:r w:rsidRPr="002506A3">
        <w:rPr>
          <w:b/>
        </w:rPr>
        <w:t xml:space="preserve"> is related to the targeted received power per RB at BS assuming zero path-loss, </w:t>
      </w:r>
      <w:r>
        <w:rPr>
          <w:b/>
        </w:rPr>
        <w:t>and its range depends on the target SNR values and uplink interference level in NR.</w:t>
      </w:r>
    </w:p>
    <w:p w:rsidR="00A07112" w:rsidRDefault="00097971" w:rsidP="00A07112">
      <w:pPr>
        <w:rPr>
          <w:b/>
        </w:rPr>
      </w:pPr>
      <w:r w:rsidRPr="00277AA4">
        <w:rPr>
          <w:b/>
        </w:rPr>
        <w:t xml:space="preserve">Observation 2: The coupling loss difference between SUL and normal paired NR DOES not change the required </w:t>
      </w:r>
      <w:r w:rsidR="003B4169">
        <w:rPr>
          <w:b/>
        </w:rPr>
        <w:t>receive</w:t>
      </w:r>
      <w:r w:rsidRPr="00277AA4">
        <w:rPr>
          <w:b/>
        </w:rPr>
        <w:t xml:space="preserve"> power of SUL in order for BS to be able to decode SUL.</w:t>
      </w:r>
      <w:r>
        <w:rPr>
          <w:b/>
        </w:rPr>
        <w:t xml:space="preserve"> The P</w:t>
      </w:r>
      <w:r w:rsidRPr="001A5BCB">
        <w:rPr>
          <w:b/>
          <w:vertAlign w:val="subscript"/>
        </w:rPr>
        <w:t>0</w:t>
      </w:r>
      <w:r>
        <w:rPr>
          <w:b/>
        </w:rPr>
        <w:t xml:space="preserve"> range for SUL should not be impacted by the coupling loss difference.</w:t>
      </w:r>
    </w:p>
    <w:p w:rsidR="000A2A1B" w:rsidRPr="00C5348F" w:rsidRDefault="006F1078" w:rsidP="00A07112">
      <w:pPr>
        <w:rPr>
          <w:b/>
        </w:rPr>
      </w:pPr>
      <w:r w:rsidRPr="000A2A1B">
        <w:rPr>
          <w:b/>
        </w:rPr>
        <w:t>Observation 3: The allowed P</w:t>
      </w:r>
      <w:r w:rsidRPr="000A2A1B">
        <w:rPr>
          <w:b/>
          <w:vertAlign w:val="subscript"/>
        </w:rPr>
        <w:t>0</w:t>
      </w:r>
      <w:r w:rsidRPr="000A2A1B">
        <w:rPr>
          <w:b/>
        </w:rPr>
        <w:t xml:space="preserve"> range for SUL power control should be defined in a similar way as that in LTE by considering new channel bandwidth etc.</w:t>
      </w:r>
      <w:r w:rsidR="003154DA">
        <w:rPr>
          <w:b/>
        </w:rPr>
        <w:t xml:space="preserve"> in NR.</w:t>
      </w:r>
    </w:p>
    <w:p w:rsidR="00097971" w:rsidRDefault="00097971" w:rsidP="00097971">
      <w:pPr>
        <w:snapToGrid w:val="0"/>
        <w:spacing w:beforeLines="50" w:before="120" w:line="360" w:lineRule="auto"/>
      </w:pPr>
      <w:r w:rsidRPr="00277AA4">
        <w:rPr>
          <w:b/>
        </w:rPr>
        <w:t xml:space="preserve">Observation </w:t>
      </w:r>
      <w:r w:rsidR="000A2A1B">
        <w:rPr>
          <w:b/>
        </w:rPr>
        <w:t>4</w:t>
      </w:r>
      <w:r w:rsidRPr="00277AA4">
        <w:rPr>
          <w:b/>
        </w:rPr>
        <w:t xml:space="preserve">: </w:t>
      </w:r>
      <w:r>
        <w:rPr>
          <w:b/>
        </w:rPr>
        <w:t>The P</w:t>
      </w:r>
      <w:r w:rsidRPr="001A5BCB">
        <w:rPr>
          <w:b/>
          <w:vertAlign w:val="subscript"/>
        </w:rPr>
        <w:t>0</w:t>
      </w:r>
      <w:r>
        <w:rPr>
          <w:b/>
        </w:rPr>
        <w:t xml:space="preserve"> value for SUL power control can be set by deducting with an offset which is the product of the configured α and the observed coupling loss difference X, but hard limited to the allowed P</w:t>
      </w:r>
      <w:r w:rsidRPr="001A5BCB">
        <w:rPr>
          <w:b/>
          <w:vertAlign w:val="subscript"/>
        </w:rPr>
        <w:t>0</w:t>
      </w:r>
      <w:r>
        <w:rPr>
          <w:b/>
        </w:rPr>
        <w:t xml:space="preserve"> range.</w:t>
      </w:r>
    </w:p>
    <w:p w:rsidR="00097971" w:rsidRPr="00C5348F" w:rsidRDefault="00097971" w:rsidP="00097971">
      <w:pPr>
        <w:rPr>
          <w:b/>
        </w:rPr>
      </w:pPr>
      <w:r w:rsidRPr="00C5348F">
        <w:rPr>
          <w:b/>
        </w:rPr>
        <w:t>Proposal 1</w:t>
      </w:r>
      <w:r>
        <w:rPr>
          <w:b/>
        </w:rPr>
        <w:t>:</w:t>
      </w:r>
      <w:r w:rsidRPr="00C5348F">
        <w:rPr>
          <w:b/>
        </w:rPr>
        <w:t xml:space="preserve"> Send a reply LS to RAN1 describing the above understanding</w:t>
      </w:r>
      <w:r>
        <w:rPr>
          <w:b/>
        </w:rPr>
        <w:t>, and decline the confirmation of both work assumptions</w:t>
      </w:r>
      <w:r w:rsidRPr="00C5348F">
        <w:rPr>
          <w:b/>
        </w:rPr>
        <w:t>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AE5F5B" w:rsidRDefault="00AE5F5B" w:rsidP="00AE5F5B">
      <w:r>
        <w:t xml:space="preserve">[1] </w:t>
      </w:r>
      <w:r w:rsidR="00097295">
        <w:t>3GPP RAN4 AH #1801, Chairman notes</w:t>
      </w:r>
    </w:p>
    <w:p w:rsidR="004405DF" w:rsidRDefault="00405093" w:rsidP="002336E5">
      <w:r>
        <w:t>[2</w:t>
      </w:r>
      <w:r w:rsidR="000C2F6E">
        <w:t xml:space="preserve">] </w:t>
      </w:r>
      <w:r w:rsidR="00ED64F9" w:rsidRPr="00ED64F9">
        <w:t>R4-1800003</w:t>
      </w:r>
      <w:r w:rsidR="00ED64F9" w:rsidRPr="00ED64F9">
        <w:tab/>
        <w:t>LS reply to RAN4 on P_0 ranges on UL power control</w:t>
      </w:r>
      <w:r w:rsidR="00ED64F9">
        <w:t>, RAN1, ZTE</w:t>
      </w:r>
    </w:p>
    <w:p w:rsidR="004405DF" w:rsidRDefault="00531643" w:rsidP="004405DF">
      <w:r>
        <w:t>[</w:t>
      </w:r>
      <w:r w:rsidR="000C2F6E">
        <w:t>3</w:t>
      </w:r>
      <w:r>
        <w:t xml:space="preserve">] </w:t>
      </w:r>
      <w:r w:rsidR="00041D03" w:rsidRPr="00041D03">
        <w:t>R4-1800478</w:t>
      </w:r>
      <w:r w:rsidR="00041D03" w:rsidRPr="00041D03">
        <w:tab/>
        <w:t>On coupling loss difference between SUL and DL</w:t>
      </w:r>
    </w:p>
    <w:p w:rsidR="00AC5795" w:rsidRPr="005F73A1" w:rsidRDefault="000C2F6E" w:rsidP="002336E5">
      <w:pPr>
        <w:rPr>
          <w:lang w:val="sv-SE"/>
        </w:rPr>
      </w:pPr>
      <w:r w:rsidRPr="005F73A1">
        <w:rPr>
          <w:lang w:val="sv-SE"/>
        </w:rPr>
        <w:t>[4</w:t>
      </w:r>
      <w:r w:rsidR="005F5044" w:rsidRPr="005F73A1">
        <w:rPr>
          <w:lang w:val="sv-SE"/>
        </w:rPr>
        <w:t xml:space="preserve">] </w:t>
      </w:r>
      <w:r w:rsidR="00535BD6" w:rsidRPr="005F73A1">
        <w:rPr>
          <w:lang w:val="sv-SE"/>
        </w:rPr>
        <w:t xml:space="preserve">3GPP </w:t>
      </w:r>
      <w:r w:rsidR="005F5044" w:rsidRPr="005F73A1">
        <w:rPr>
          <w:lang w:val="sv-SE"/>
        </w:rPr>
        <w:t>TS 36.213 v14.0.0</w:t>
      </w:r>
    </w:p>
    <w:p w:rsidR="005F5044" w:rsidRDefault="005F5044" w:rsidP="002336E5">
      <w:pPr>
        <w:rPr>
          <w:lang w:val="sv-SE"/>
        </w:rPr>
      </w:pPr>
      <w:r w:rsidRPr="005F73A1">
        <w:rPr>
          <w:lang w:val="sv-SE"/>
        </w:rPr>
        <w:t xml:space="preserve">[5] </w:t>
      </w:r>
      <w:r w:rsidR="00535BD6" w:rsidRPr="005F73A1">
        <w:rPr>
          <w:lang w:val="sv-SE"/>
        </w:rPr>
        <w:t xml:space="preserve">3GPP </w:t>
      </w:r>
      <w:r w:rsidRPr="005F73A1">
        <w:rPr>
          <w:lang w:val="sv-SE"/>
        </w:rPr>
        <w:t>TS 38.213 v15.0.0</w:t>
      </w:r>
    </w:p>
    <w:p w:rsidR="0000471E" w:rsidRPr="0000471E" w:rsidRDefault="0000471E" w:rsidP="002336E5">
      <w:pPr>
        <w:rPr>
          <w:lang w:val="en-US"/>
        </w:rPr>
      </w:pPr>
      <w:r w:rsidRPr="0000471E">
        <w:rPr>
          <w:lang w:val="en-US"/>
        </w:rPr>
        <w:t>[6] Chris Johnson, ”</w:t>
      </w:r>
      <w:r>
        <w:rPr>
          <w:lang w:val="en-US"/>
        </w:rPr>
        <w:t>Long Term Evolution</w:t>
      </w:r>
      <w:r w:rsidRPr="0000471E">
        <w:rPr>
          <w:lang w:val="en-US"/>
        </w:rPr>
        <w:t xml:space="preserve"> in Bullets”</w:t>
      </w:r>
      <w:r>
        <w:rPr>
          <w:lang w:val="en-US"/>
        </w:rPr>
        <w:t>, ISBN 978-1-4528-3464-1</w:t>
      </w:r>
    </w:p>
    <w:p w:rsidR="00623045" w:rsidRPr="0000471E" w:rsidRDefault="00623045" w:rsidP="002336E5">
      <w:pPr>
        <w:rPr>
          <w:lang w:val="en-US"/>
        </w:rPr>
      </w:pPr>
    </w:p>
    <w:p w:rsidR="00BE1E9C" w:rsidRPr="0000471E" w:rsidRDefault="00BE1E9C" w:rsidP="002336E5">
      <w:pPr>
        <w:rPr>
          <w:lang w:val="en-US"/>
        </w:rPr>
      </w:pPr>
    </w:p>
    <w:p w:rsidR="00ED24C4" w:rsidRPr="0000471E" w:rsidRDefault="00ED24C4" w:rsidP="00ED24C4">
      <w:pPr>
        <w:rPr>
          <w:lang w:val="en-US"/>
        </w:rPr>
      </w:pPr>
    </w:p>
    <w:p w:rsidR="00ED24C4" w:rsidRPr="0000471E" w:rsidRDefault="00ED24C4" w:rsidP="009C515A">
      <w:pPr>
        <w:rPr>
          <w:lang w:val="en-US"/>
        </w:rPr>
      </w:pPr>
    </w:p>
    <w:sectPr w:rsidR="00ED24C4" w:rsidRPr="0000471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66A" w:rsidRDefault="000B266A">
      <w:r>
        <w:separator/>
      </w:r>
    </w:p>
  </w:endnote>
  <w:endnote w:type="continuationSeparator" w:id="0">
    <w:p w:rsidR="000B266A" w:rsidRDefault="000B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66A" w:rsidRDefault="000B266A">
      <w:r>
        <w:separator/>
      </w:r>
    </w:p>
  </w:footnote>
  <w:footnote w:type="continuationSeparator" w:id="0">
    <w:p w:rsidR="000B266A" w:rsidRDefault="000B2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5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6"/>
  </w:num>
  <w:num w:numId="8">
    <w:abstractNumId w:val="13"/>
  </w:num>
  <w:num w:numId="9">
    <w:abstractNumId w:val="5"/>
  </w:num>
  <w:num w:numId="10">
    <w:abstractNumId w:val="7"/>
  </w:num>
  <w:num w:numId="11">
    <w:abstractNumId w:val="4"/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3640"/>
    <w:rsid w:val="00075FE2"/>
    <w:rsid w:val="00080512"/>
    <w:rsid w:val="00084D88"/>
    <w:rsid w:val="00087443"/>
    <w:rsid w:val="0009298C"/>
    <w:rsid w:val="00097295"/>
    <w:rsid w:val="00097971"/>
    <w:rsid w:val="000A2A1B"/>
    <w:rsid w:val="000A329E"/>
    <w:rsid w:val="000A5283"/>
    <w:rsid w:val="000B266A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A5BCB"/>
    <w:rsid w:val="001B029E"/>
    <w:rsid w:val="001B0998"/>
    <w:rsid w:val="001C3B43"/>
    <w:rsid w:val="001D02C2"/>
    <w:rsid w:val="001F00F9"/>
    <w:rsid w:val="001F168B"/>
    <w:rsid w:val="001F7B07"/>
    <w:rsid w:val="00202296"/>
    <w:rsid w:val="00206DCE"/>
    <w:rsid w:val="00211F6A"/>
    <w:rsid w:val="00214638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77AA4"/>
    <w:rsid w:val="002A29CD"/>
    <w:rsid w:val="002B37F3"/>
    <w:rsid w:val="002B742F"/>
    <w:rsid w:val="002C2CE7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54DA"/>
    <w:rsid w:val="003172DC"/>
    <w:rsid w:val="00331BAE"/>
    <w:rsid w:val="003339BE"/>
    <w:rsid w:val="00334934"/>
    <w:rsid w:val="00334A6D"/>
    <w:rsid w:val="00334A9B"/>
    <w:rsid w:val="00342406"/>
    <w:rsid w:val="00345B61"/>
    <w:rsid w:val="003502CB"/>
    <w:rsid w:val="003514C8"/>
    <w:rsid w:val="0035253A"/>
    <w:rsid w:val="0035462D"/>
    <w:rsid w:val="003560C9"/>
    <w:rsid w:val="003736EA"/>
    <w:rsid w:val="00373B65"/>
    <w:rsid w:val="003777AC"/>
    <w:rsid w:val="00381C45"/>
    <w:rsid w:val="00385C5E"/>
    <w:rsid w:val="003A108D"/>
    <w:rsid w:val="003B1516"/>
    <w:rsid w:val="003B4169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5093"/>
    <w:rsid w:val="00420818"/>
    <w:rsid w:val="004232C3"/>
    <w:rsid w:val="00433D41"/>
    <w:rsid w:val="00437483"/>
    <w:rsid w:val="004405DF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5B61"/>
    <w:rsid w:val="00527855"/>
    <w:rsid w:val="00531643"/>
    <w:rsid w:val="00535BD6"/>
    <w:rsid w:val="00535D79"/>
    <w:rsid w:val="005409E7"/>
    <w:rsid w:val="00543E6C"/>
    <w:rsid w:val="00550D3A"/>
    <w:rsid w:val="005512DE"/>
    <w:rsid w:val="0055357F"/>
    <w:rsid w:val="00554BA2"/>
    <w:rsid w:val="0056127F"/>
    <w:rsid w:val="00561A57"/>
    <w:rsid w:val="00561C10"/>
    <w:rsid w:val="00565087"/>
    <w:rsid w:val="0058007C"/>
    <w:rsid w:val="0058151D"/>
    <w:rsid w:val="00586606"/>
    <w:rsid w:val="005909F0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73A1"/>
    <w:rsid w:val="005F7E37"/>
    <w:rsid w:val="00602618"/>
    <w:rsid w:val="00604D7A"/>
    <w:rsid w:val="00607980"/>
    <w:rsid w:val="006130BF"/>
    <w:rsid w:val="00614FDF"/>
    <w:rsid w:val="0062106C"/>
    <w:rsid w:val="00623045"/>
    <w:rsid w:val="00626CB4"/>
    <w:rsid w:val="00626F03"/>
    <w:rsid w:val="00632E59"/>
    <w:rsid w:val="006352AD"/>
    <w:rsid w:val="00641FEA"/>
    <w:rsid w:val="00650111"/>
    <w:rsid w:val="00653213"/>
    <w:rsid w:val="0065649E"/>
    <w:rsid w:val="00661D64"/>
    <w:rsid w:val="00666B6C"/>
    <w:rsid w:val="00667A67"/>
    <w:rsid w:val="006728EB"/>
    <w:rsid w:val="00672B03"/>
    <w:rsid w:val="0068747A"/>
    <w:rsid w:val="00693227"/>
    <w:rsid w:val="006A399F"/>
    <w:rsid w:val="006A4F52"/>
    <w:rsid w:val="006B79D4"/>
    <w:rsid w:val="006D1D48"/>
    <w:rsid w:val="006D6C26"/>
    <w:rsid w:val="006E184C"/>
    <w:rsid w:val="006E5C86"/>
    <w:rsid w:val="006F0B83"/>
    <w:rsid w:val="006F1078"/>
    <w:rsid w:val="006F2A67"/>
    <w:rsid w:val="007033F1"/>
    <w:rsid w:val="00706F17"/>
    <w:rsid w:val="00712764"/>
    <w:rsid w:val="00720A82"/>
    <w:rsid w:val="00734A5B"/>
    <w:rsid w:val="00742831"/>
    <w:rsid w:val="00744E76"/>
    <w:rsid w:val="00760D3B"/>
    <w:rsid w:val="00763D76"/>
    <w:rsid w:val="00765FC2"/>
    <w:rsid w:val="00781F0F"/>
    <w:rsid w:val="0078738E"/>
    <w:rsid w:val="00795F2A"/>
    <w:rsid w:val="007B2632"/>
    <w:rsid w:val="007B3134"/>
    <w:rsid w:val="007B7D83"/>
    <w:rsid w:val="007C08E6"/>
    <w:rsid w:val="007C60E9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42F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915D3"/>
    <w:rsid w:val="00894EF4"/>
    <w:rsid w:val="00897BE2"/>
    <w:rsid w:val="008B3626"/>
    <w:rsid w:val="008B49B2"/>
    <w:rsid w:val="008C653D"/>
    <w:rsid w:val="008D3696"/>
    <w:rsid w:val="008F4C8C"/>
    <w:rsid w:val="0090271F"/>
    <w:rsid w:val="00902E23"/>
    <w:rsid w:val="00907E11"/>
    <w:rsid w:val="009112E9"/>
    <w:rsid w:val="0091348E"/>
    <w:rsid w:val="00917CCB"/>
    <w:rsid w:val="009324EB"/>
    <w:rsid w:val="00934486"/>
    <w:rsid w:val="00934971"/>
    <w:rsid w:val="009427DB"/>
    <w:rsid w:val="00942CF7"/>
    <w:rsid w:val="00942EC2"/>
    <w:rsid w:val="00945CBC"/>
    <w:rsid w:val="0096165E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E5993"/>
    <w:rsid w:val="009F37B7"/>
    <w:rsid w:val="009F42FA"/>
    <w:rsid w:val="009F6952"/>
    <w:rsid w:val="00A03132"/>
    <w:rsid w:val="00A03DCF"/>
    <w:rsid w:val="00A07112"/>
    <w:rsid w:val="00A10F02"/>
    <w:rsid w:val="00A120B1"/>
    <w:rsid w:val="00A12347"/>
    <w:rsid w:val="00A164B4"/>
    <w:rsid w:val="00A1655E"/>
    <w:rsid w:val="00A165F0"/>
    <w:rsid w:val="00A22243"/>
    <w:rsid w:val="00A41EBD"/>
    <w:rsid w:val="00A42068"/>
    <w:rsid w:val="00A52733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9FB"/>
    <w:rsid w:val="00A86A07"/>
    <w:rsid w:val="00AC4CF1"/>
    <w:rsid w:val="00AC5795"/>
    <w:rsid w:val="00AD360E"/>
    <w:rsid w:val="00AD5902"/>
    <w:rsid w:val="00AE5F5B"/>
    <w:rsid w:val="00AE67F3"/>
    <w:rsid w:val="00AF6315"/>
    <w:rsid w:val="00B03772"/>
    <w:rsid w:val="00B10CE5"/>
    <w:rsid w:val="00B12C72"/>
    <w:rsid w:val="00B15449"/>
    <w:rsid w:val="00B22D3D"/>
    <w:rsid w:val="00B257BF"/>
    <w:rsid w:val="00B26C0A"/>
    <w:rsid w:val="00B27623"/>
    <w:rsid w:val="00B3262F"/>
    <w:rsid w:val="00B41957"/>
    <w:rsid w:val="00B52D9D"/>
    <w:rsid w:val="00B55881"/>
    <w:rsid w:val="00B620C1"/>
    <w:rsid w:val="00B828E4"/>
    <w:rsid w:val="00B82D7E"/>
    <w:rsid w:val="00B8484C"/>
    <w:rsid w:val="00B912FC"/>
    <w:rsid w:val="00B9320D"/>
    <w:rsid w:val="00BA1DAF"/>
    <w:rsid w:val="00BB1563"/>
    <w:rsid w:val="00BB62D8"/>
    <w:rsid w:val="00BB6A30"/>
    <w:rsid w:val="00BC07AD"/>
    <w:rsid w:val="00BC0F7D"/>
    <w:rsid w:val="00BC1681"/>
    <w:rsid w:val="00BC18D7"/>
    <w:rsid w:val="00BC5BE5"/>
    <w:rsid w:val="00BC63AE"/>
    <w:rsid w:val="00BD22E7"/>
    <w:rsid w:val="00BE1E9C"/>
    <w:rsid w:val="00BE29F5"/>
    <w:rsid w:val="00BE35BD"/>
    <w:rsid w:val="00BF1126"/>
    <w:rsid w:val="00C00559"/>
    <w:rsid w:val="00C01475"/>
    <w:rsid w:val="00C040EF"/>
    <w:rsid w:val="00C12690"/>
    <w:rsid w:val="00C15883"/>
    <w:rsid w:val="00C20594"/>
    <w:rsid w:val="00C23B00"/>
    <w:rsid w:val="00C2472D"/>
    <w:rsid w:val="00C33079"/>
    <w:rsid w:val="00C45231"/>
    <w:rsid w:val="00C53147"/>
    <w:rsid w:val="00C5348F"/>
    <w:rsid w:val="00C61BFE"/>
    <w:rsid w:val="00C67EE2"/>
    <w:rsid w:val="00C72833"/>
    <w:rsid w:val="00C74350"/>
    <w:rsid w:val="00C8620E"/>
    <w:rsid w:val="00C93F40"/>
    <w:rsid w:val="00CA3D0C"/>
    <w:rsid w:val="00CA58B7"/>
    <w:rsid w:val="00CB2B86"/>
    <w:rsid w:val="00CC2CB2"/>
    <w:rsid w:val="00CC7113"/>
    <w:rsid w:val="00CD748D"/>
    <w:rsid w:val="00CD7BD7"/>
    <w:rsid w:val="00CE2D25"/>
    <w:rsid w:val="00CE7A7D"/>
    <w:rsid w:val="00D02E1F"/>
    <w:rsid w:val="00D05240"/>
    <w:rsid w:val="00D05342"/>
    <w:rsid w:val="00D13D25"/>
    <w:rsid w:val="00D306F9"/>
    <w:rsid w:val="00D31B67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1C8C"/>
    <w:rsid w:val="00DB5E29"/>
    <w:rsid w:val="00DC309B"/>
    <w:rsid w:val="00DC4DA2"/>
    <w:rsid w:val="00DC7849"/>
    <w:rsid w:val="00DD5294"/>
    <w:rsid w:val="00DD7542"/>
    <w:rsid w:val="00DE346C"/>
    <w:rsid w:val="00DE4B51"/>
    <w:rsid w:val="00DF2B1F"/>
    <w:rsid w:val="00DF5351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3BA0"/>
    <w:rsid w:val="00EA5F83"/>
    <w:rsid w:val="00EC311F"/>
    <w:rsid w:val="00EC4A25"/>
    <w:rsid w:val="00ED1161"/>
    <w:rsid w:val="00ED24C4"/>
    <w:rsid w:val="00ED64F9"/>
    <w:rsid w:val="00ED6B1A"/>
    <w:rsid w:val="00EE270C"/>
    <w:rsid w:val="00EF50FD"/>
    <w:rsid w:val="00F01122"/>
    <w:rsid w:val="00F025A2"/>
    <w:rsid w:val="00F04712"/>
    <w:rsid w:val="00F04CD7"/>
    <w:rsid w:val="00F116E3"/>
    <w:rsid w:val="00F161B2"/>
    <w:rsid w:val="00F21583"/>
    <w:rsid w:val="00F22EC7"/>
    <w:rsid w:val="00F24221"/>
    <w:rsid w:val="00F321E5"/>
    <w:rsid w:val="00F365E7"/>
    <w:rsid w:val="00F524A2"/>
    <w:rsid w:val="00F6090E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7B21"/>
    <w:rsid w:val="00FC1192"/>
    <w:rsid w:val="00FC1F5C"/>
    <w:rsid w:val="00FC20E5"/>
    <w:rsid w:val="00FC2FCB"/>
    <w:rsid w:val="00FD0815"/>
    <w:rsid w:val="00FD0F0F"/>
    <w:rsid w:val="00FD2014"/>
    <w:rsid w:val="00FD3D8B"/>
    <w:rsid w:val="00FD4482"/>
    <w:rsid w:val="00FD4B45"/>
    <w:rsid w:val="00FD52DA"/>
    <w:rsid w:val="00FE03A4"/>
    <w:rsid w:val="00FE0B7F"/>
    <w:rsid w:val="00FE2460"/>
    <w:rsid w:val="00FE6FF0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6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6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5.bin"/><Relationship Id="rId8" Type="http://schemas.openxmlformats.org/officeDocument/2006/relationships/image" Target="media/image1.wmf"/><Relationship Id="rId51" Type="http://schemas.openxmlformats.org/officeDocument/2006/relationships/image" Target="media/image18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3.wmf"/><Relationship Id="rId46" Type="http://schemas.openxmlformats.org/officeDocument/2006/relationships/oleObject" Target="embeddings/oleObject24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</cp:lastModifiedBy>
  <cp:revision>3</cp:revision>
  <dcterms:created xsi:type="dcterms:W3CDTF">2018-02-19T20:24:00Z</dcterms:created>
  <dcterms:modified xsi:type="dcterms:W3CDTF">2018-02-19T20:24:00Z</dcterms:modified>
</cp:coreProperties>
</file>